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1A2" w:rsidRPr="007A0D5D" w:rsidRDefault="00EA51A2" w:rsidP="007A0D5D">
      <w:pPr>
        <w:spacing w:before="120" w:after="120"/>
        <w:jc w:val="center"/>
        <w:rPr>
          <w:b/>
          <w:sz w:val="28"/>
          <w:szCs w:val="28"/>
        </w:rPr>
      </w:pPr>
      <w:r w:rsidRPr="007A0D5D">
        <w:rPr>
          <w:b/>
          <w:sz w:val="28"/>
          <w:szCs w:val="28"/>
        </w:rPr>
        <w:t>HƯỚNG DẪN XÉT THÔNG TƯ 23/BCA NĂM 2015</w:t>
      </w:r>
    </w:p>
    <w:p w:rsidR="00EA51A2" w:rsidRPr="007A0D5D" w:rsidRDefault="00EA51A2" w:rsidP="007A0D5D">
      <w:pPr>
        <w:spacing w:before="120" w:after="120"/>
        <w:ind w:firstLine="720"/>
        <w:jc w:val="both"/>
        <w:rPr>
          <w:sz w:val="28"/>
          <w:szCs w:val="28"/>
        </w:rPr>
      </w:pPr>
      <w:r w:rsidRPr="007A0D5D">
        <w:rPr>
          <w:b/>
          <w:sz w:val="28"/>
          <w:szCs w:val="28"/>
        </w:rPr>
        <w:t>I.</w:t>
      </w:r>
      <w:r w:rsidRPr="007A0D5D">
        <w:rPr>
          <w:sz w:val="28"/>
          <w:szCs w:val="28"/>
        </w:rPr>
        <w:t xml:space="preserve"> T</w:t>
      </w:r>
      <w:r w:rsidRPr="007A0D5D">
        <w:rPr>
          <w:b/>
          <w:sz w:val="28"/>
          <w:szCs w:val="28"/>
        </w:rPr>
        <w:t>iêu chí để công nhận nhà trường đạt tiêu chuẩn “An toàn về ANTT” bao gồm:</w:t>
      </w:r>
    </w:p>
    <w:p w:rsidR="00EA51A2" w:rsidRPr="007A0D5D" w:rsidRDefault="00EA51A2" w:rsidP="007A0D5D">
      <w:pPr>
        <w:spacing w:before="120" w:after="120"/>
        <w:ind w:firstLine="720"/>
        <w:jc w:val="both"/>
        <w:rPr>
          <w:sz w:val="28"/>
          <w:szCs w:val="28"/>
        </w:rPr>
      </w:pPr>
      <w:r w:rsidRPr="007A0D5D">
        <w:rPr>
          <w:sz w:val="28"/>
          <w:szCs w:val="28"/>
        </w:rPr>
        <w:t>1. Hàng năm, cấp ủy Đảng có Nghị quyết (đối với những nơi có tổ chức Đảng), Ban giám hiệu (Ban giám đốc) nhà trường có kế hoạch về công tác bảo đảm an ninh, trật tự; có bản đăng ký phấn đấu đạt tiêu chuẩn “An toàn về ANTT”; có nội quy, quy chế bảo vệ nhà trường, bảo vệ chính trị nội bộ, quản lý giáo dục người học; phòng, chống cháy, nổ và 100% cán bộ, giáo viên, công nhân viên, người học từ cấp trung học cơ sở trở lên ký cam kết thực hiện các nội quy, quy chế và xây dựng nhà trường đạt tiêu chuẩn “An toàn về ANTT” gắn với các phong trào thi đua trong hệ thống giáo dục quốc dân.</w:t>
      </w:r>
    </w:p>
    <w:p w:rsidR="00EA51A2" w:rsidRPr="007A0D5D" w:rsidRDefault="00EA51A2" w:rsidP="007A0D5D">
      <w:pPr>
        <w:spacing w:before="120" w:after="120"/>
        <w:ind w:firstLine="720"/>
        <w:jc w:val="both"/>
        <w:rPr>
          <w:sz w:val="28"/>
          <w:szCs w:val="28"/>
        </w:rPr>
      </w:pPr>
      <w:r w:rsidRPr="007A0D5D">
        <w:rPr>
          <w:sz w:val="28"/>
          <w:szCs w:val="28"/>
        </w:rPr>
        <w:t>2. Triển khai thực hiện có hiệu quả các chủ trương, đường lối, chính sách của Đảng, pháp luật của Nhà nước; có kế hoạch phối hợp giữa nhà trường – chính quyền địa phương – gia đình người học (nếu người học là học sinh phổ thông) trong công tác bảo đảm an ninh, trật tự trường học và quản lý, giáo dục người học. Có mô hình tự phòng, tự quản, tự bảo vệ về an ninh, trật tự trong nhà trường, ký túc xá và nhà trọ.</w:t>
      </w:r>
    </w:p>
    <w:p w:rsidR="00EA51A2" w:rsidRPr="007A0D5D" w:rsidRDefault="00EA51A2" w:rsidP="007A0D5D">
      <w:pPr>
        <w:spacing w:before="120" w:after="120"/>
        <w:ind w:firstLine="720"/>
        <w:jc w:val="both"/>
        <w:rPr>
          <w:sz w:val="28"/>
          <w:szCs w:val="28"/>
        </w:rPr>
      </w:pPr>
      <w:r w:rsidRPr="007A0D5D">
        <w:rPr>
          <w:sz w:val="28"/>
          <w:szCs w:val="28"/>
        </w:rPr>
        <w:t>3. Không để xảy ra các hoạt động gây rối, biểu tình, lập các hội, nhóm, tuyên truyền phát triển đạo, khiếu kiện và tụ tập đông người trái với quy định của pháp luật; không để xảy ra tội phạm và bạo lực học đường; không có cán bộ, giáo viên, công nhân viên, người học phạm tội hoặc mắc tệ nạn xã hội; không để xảy ra cháy, nổ, tai nạn lao động nghiêm trọng.</w:t>
      </w:r>
    </w:p>
    <w:p w:rsidR="00EA51A2" w:rsidRPr="007A0D5D" w:rsidRDefault="00EA51A2" w:rsidP="007A0D5D">
      <w:pPr>
        <w:spacing w:before="120" w:after="120"/>
        <w:ind w:firstLine="720"/>
        <w:jc w:val="both"/>
        <w:rPr>
          <w:sz w:val="28"/>
          <w:szCs w:val="28"/>
        </w:rPr>
      </w:pPr>
      <w:r w:rsidRPr="007A0D5D">
        <w:rPr>
          <w:sz w:val="28"/>
          <w:szCs w:val="28"/>
        </w:rPr>
        <w:t>4. Xây dựng lực lượng bảo vệ chuyên trách và bán chuyên trách (nếu có) trong sạch, vững mạnh. Phân loại thi đua hàng năm đạt danh hiệu “Tập thể lao động tiên tiến” trở lên; không có cá nhân bị kỷ luật từ hình thức cảnh cáo trở lên.</w:t>
      </w:r>
    </w:p>
    <w:p w:rsidR="00EA51A2" w:rsidRPr="007A0D5D" w:rsidRDefault="00EA51A2" w:rsidP="007A0D5D">
      <w:pPr>
        <w:spacing w:before="120" w:after="120"/>
        <w:ind w:firstLine="720"/>
        <w:jc w:val="both"/>
        <w:rPr>
          <w:sz w:val="28"/>
          <w:szCs w:val="28"/>
        </w:rPr>
      </w:pPr>
      <w:r w:rsidRPr="007A0D5D">
        <w:rPr>
          <w:sz w:val="28"/>
          <w:szCs w:val="28"/>
        </w:rPr>
        <w:t>5. Có 70% số đầu mối trực thuộc (khoa, phòng, tổ, bộ môn…) trở lên đạt danh hiệu “Tập thể lao động tiên tiến”.</w:t>
      </w:r>
    </w:p>
    <w:p w:rsidR="00EA51A2" w:rsidRPr="007A0D5D" w:rsidRDefault="00EA51A2" w:rsidP="007A0D5D">
      <w:pPr>
        <w:spacing w:before="120" w:after="120"/>
        <w:jc w:val="both"/>
        <w:rPr>
          <w:b/>
          <w:sz w:val="28"/>
          <w:szCs w:val="28"/>
        </w:rPr>
      </w:pPr>
      <w:r w:rsidRPr="007A0D5D">
        <w:rPr>
          <w:sz w:val="28"/>
          <w:szCs w:val="28"/>
        </w:rPr>
        <w:tab/>
      </w:r>
      <w:r w:rsidRPr="007A0D5D">
        <w:rPr>
          <w:b/>
          <w:sz w:val="28"/>
          <w:szCs w:val="28"/>
        </w:rPr>
        <w:t xml:space="preserve">II. </w:t>
      </w:r>
      <w:r w:rsidRPr="007A0D5D">
        <w:rPr>
          <w:b/>
          <w:bCs/>
          <w:sz w:val="28"/>
          <w:szCs w:val="28"/>
        </w:rPr>
        <w:t>Trình tự, thủ tục, hồ sơ đề nghị công nhận đạt tiêu chuẩn “An toàn về ANTT”</w:t>
      </w:r>
    </w:p>
    <w:p w:rsidR="00EA51A2" w:rsidRPr="007A0D5D" w:rsidRDefault="00EA51A2" w:rsidP="007A0D5D">
      <w:pPr>
        <w:pStyle w:val="ListParagraph"/>
        <w:numPr>
          <w:ilvl w:val="0"/>
          <w:numId w:val="3"/>
        </w:numPr>
        <w:spacing w:before="120" w:after="120"/>
        <w:jc w:val="both"/>
        <w:rPr>
          <w:b/>
          <w:sz w:val="28"/>
          <w:szCs w:val="28"/>
        </w:rPr>
      </w:pPr>
      <w:r w:rsidRPr="007A0D5D">
        <w:rPr>
          <w:b/>
          <w:sz w:val="28"/>
          <w:szCs w:val="28"/>
        </w:rPr>
        <w:t xml:space="preserve">Trình tự, thủ tục: </w:t>
      </w:r>
    </w:p>
    <w:p w:rsidR="00EA51A2" w:rsidRPr="007A0D5D" w:rsidRDefault="00EA51A2" w:rsidP="007A0D5D">
      <w:pPr>
        <w:pStyle w:val="ListParagraph"/>
        <w:spacing w:before="120" w:after="120"/>
        <w:ind w:left="0" w:firstLine="720"/>
        <w:jc w:val="both"/>
        <w:rPr>
          <w:sz w:val="28"/>
          <w:szCs w:val="28"/>
        </w:rPr>
      </w:pPr>
      <w:r w:rsidRPr="007A0D5D">
        <w:rPr>
          <w:sz w:val="28"/>
          <w:szCs w:val="28"/>
        </w:rPr>
        <w:t xml:space="preserve">BGH nhà trường chủ trì cuộc họp gồm đại diện cấp ủy Đảng, các tổ chức đoàn thể và đại diện cơ quan có thẩm quyền quản lý để kiểm điểm, đánh giá tình hình, kết quả thực hiện xây dựng nhà trường đạt chuẩn  “An toàn về ANTT” </w:t>
      </w:r>
    </w:p>
    <w:p w:rsidR="00EA51A2" w:rsidRPr="007A0D5D" w:rsidRDefault="00EA51A2" w:rsidP="007A0D5D">
      <w:pPr>
        <w:pStyle w:val="ListParagraph"/>
        <w:numPr>
          <w:ilvl w:val="0"/>
          <w:numId w:val="3"/>
        </w:numPr>
        <w:spacing w:before="120" w:after="120"/>
        <w:jc w:val="both"/>
        <w:rPr>
          <w:b/>
          <w:sz w:val="28"/>
          <w:szCs w:val="28"/>
        </w:rPr>
      </w:pPr>
      <w:r w:rsidRPr="007A0D5D">
        <w:rPr>
          <w:b/>
          <w:sz w:val="28"/>
          <w:szCs w:val="28"/>
        </w:rPr>
        <w:t>Hồ sơ:</w:t>
      </w:r>
    </w:p>
    <w:p w:rsidR="00EA51A2" w:rsidRPr="007A0D5D" w:rsidRDefault="00EA51A2" w:rsidP="007A0D5D">
      <w:pPr>
        <w:pStyle w:val="ListParagraph"/>
        <w:spacing w:before="120" w:after="120"/>
        <w:ind w:left="90" w:firstLine="630"/>
        <w:jc w:val="both"/>
        <w:rPr>
          <w:sz w:val="28"/>
          <w:szCs w:val="28"/>
        </w:rPr>
      </w:pPr>
      <w:r w:rsidRPr="007A0D5D">
        <w:rPr>
          <w:sz w:val="28"/>
          <w:szCs w:val="28"/>
        </w:rPr>
        <w:t>a. Tờ trình của nhà trường;</w:t>
      </w:r>
    </w:p>
    <w:p w:rsidR="00EA51A2" w:rsidRPr="007A0D5D" w:rsidRDefault="00EA51A2" w:rsidP="007A0D5D">
      <w:pPr>
        <w:pStyle w:val="ListParagraph"/>
        <w:spacing w:before="120" w:after="120"/>
        <w:ind w:left="90" w:firstLine="630"/>
        <w:jc w:val="both"/>
        <w:rPr>
          <w:sz w:val="28"/>
          <w:szCs w:val="28"/>
        </w:rPr>
      </w:pPr>
      <w:r w:rsidRPr="007A0D5D">
        <w:rPr>
          <w:sz w:val="28"/>
          <w:szCs w:val="28"/>
        </w:rPr>
        <w:t>b) Báo cáo kết quả xây dựng của nhà trường có chữ ký, đóng dấu của BGH nhà trường đề nghị;</w:t>
      </w:r>
    </w:p>
    <w:p w:rsidR="00EA51A2" w:rsidRPr="007A0D5D" w:rsidRDefault="00EA51A2" w:rsidP="007A0D5D">
      <w:pPr>
        <w:pStyle w:val="ListParagraph"/>
        <w:spacing w:before="120" w:after="120"/>
        <w:ind w:left="0" w:firstLine="720"/>
        <w:jc w:val="both"/>
        <w:rPr>
          <w:sz w:val="28"/>
          <w:szCs w:val="28"/>
        </w:rPr>
      </w:pPr>
      <w:r w:rsidRPr="007A0D5D">
        <w:rPr>
          <w:sz w:val="28"/>
          <w:szCs w:val="28"/>
        </w:rPr>
        <w:t>c) Bản đăng ký phấn đấu đạt tiêu chuẩn “An toàn về ANTT”</w:t>
      </w:r>
      <w:r>
        <w:rPr>
          <w:sz w:val="28"/>
          <w:szCs w:val="28"/>
        </w:rPr>
        <w:t xml:space="preserve"> năm 2015</w:t>
      </w:r>
      <w:r w:rsidRPr="007A0D5D">
        <w:rPr>
          <w:sz w:val="28"/>
          <w:szCs w:val="28"/>
        </w:rPr>
        <w:t>;</w:t>
      </w:r>
    </w:p>
    <w:p w:rsidR="00EA51A2" w:rsidRPr="007A0D5D" w:rsidRDefault="00EA51A2" w:rsidP="007A0D5D">
      <w:pPr>
        <w:pStyle w:val="ListParagraph"/>
        <w:spacing w:before="120" w:after="120"/>
        <w:ind w:left="0" w:firstLine="720"/>
        <w:jc w:val="both"/>
        <w:rPr>
          <w:sz w:val="28"/>
          <w:szCs w:val="28"/>
        </w:rPr>
      </w:pPr>
      <w:r w:rsidRPr="007A0D5D">
        <w:rPr>
          <w:sz w:val="28"/>
          <w:szCs w:val="28"/>
        </w:rPr>
        <w:t xml:space="preserve">d) Biên bản cuộc họp của nhà trường đề nghị công nhận và </w:t>
      </w:r>
      <w:r>
        <w:rPr>
          <w:sz w:val="28"/>
          <w:szCs w:val="28"/>
        </w:rPr>
        <w:t>bản đăng ký phấu đấu đạt chuẩn “ANTT của năm 2016”.</w:t>
      </w:r>
    </w:p>
    <w:p w:rsidR="00EA51A2" w:rsidRPr="007A0D5D" w:rsidRDefault="00EA51A2" w:rsidP="007A0D5D">
      <w:pPr>
        <w:pStyle w:val="ListParagraph"/>
        <w:spacing w:before="120" w:after="120"/>
        <w:ind w:left="0" w:firstLine="720"/>
        <w:jc w:val="both"/>
        <w:rPr>
          <w:sz w:val="28"/>
          <w:szCs w:val="28"/>
        </w:rPr>
      </w:pPr>
      <w:r w:rsidRPr="007A0D5D">
        <w:rPr>
          <w:sz w:val="28"/>
          <w:szCs w:val="28"/>
        </w:rPr>
        <w:t xml:space="preserve">Căn cứ vào các tiêu chí trên đề nghị các trường TH, THCS, THPT tiến hành sơ kết việc thực hiện Thông tư 23/2012/TT-BCA theo đúng quy định. Sau khi hoàn thành các thủ tục hồ sơ bình xét nhà trường đạt chuẩn “An toàn về ANTT” năm 2015 </w:t>
      </w:r>
      <w:r w:rsidRPr="006A2931">
        <w:rPr>
          <w:b/>
          <w:sz w:val="28"/>
          <w:szCs w:val="28"/>
        </w:rPr>
        <w:t>gửi về Công an huyện Bình Chánh (qua Đội An ninh) trước ngày 30/10/2015 để tập hợp báo cáo chung. Trong quá trình thực hiện có vướng mắc đề nghị các trường kịp thời trao đổi về Công an huyện (qua Đội An ninh, Đ/c Lê Hùng Kiêt 0937 293 263) để giải quyết.</w:t>
      </w:r>
    </w:p>
    <w:sectPr w:rsidR="00EA51A2" w:rsidRPr="007A0D5D" w:rsidSect="007A0D5D">
      <w:pgSz w:w="12240" w:h="15840"/>
      <w:pgMar w:top="180" w:right="45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F4AB0"/>
    <w:multiLevelType w:val="hybridMultilevel"/>
    <w:tmpl w:val="4EA8DA88"/>
    <w:lvl w:ilvl="0" w:tplc="910601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7DB09C5"/>
    <w:multiLevelType w:val="hybridMultilevel"/>
    <w:tmpl w:val="ED42972E"/>
    <w:lvl w:ilvl="0" w:tplc="58041D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27C46A3"/>
    <w:multiLevelType w:val="hybridMultilevel"/>
    <w:tmpl w:val="E66A11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415B"/>
    <w:rsid w:val="004571C8"/>
    <w:rsid w:val="00631C58"/>
    <w:rsid w:val="006A2931"/>
    <w:rsid w:val="0075415B"/>
    <w:rsid w:val="007A0D5D"/>
    <w:rsid w:val="007D5DF3"/>
    <w:rsid w:val="00863850"/>
    <w:rsid w:val="009C4A28"/>
    <w:rsid w:val="00DE6331"/>
    <w:rsid w:val="00E2330C"/>
    <w:rsid w:val="00EA51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5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41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437</Words>
  <Characters>2491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XÉT THÔNG TƯ 23/BCA NĂM 2015</dc:title>
  <dc:subject/>
  <dc:creator>Administrator</dc:creator>
  <cp:keywords/>
  <dc:description/>
  <cp:lastModifiedBy>NP-COMPUTER</cp:lastModifiedBy>
  <cp:revision>2</cp:revision>
  <cp:lastPrinted>2015-10-08T01:15:00Z</cp:lastPrinted>
  <dcterms:created xsi:type="dcterms:W3CDTF">2015-10-08T02:49:00Z</dcterms:created>
  <dcterms:modified xsi:type="dcterms:W3CDTF">2015-10-08T02:49:00Z</dcterms:modified>
</cp:coreProperties>
</file>